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rPr>
          <w:b w:val="0"/>
          <w:i w:val="0"/>
        </w:rPr>
        <w:t>Trame d'analyse d'impact relative à la protection des données (AIPD)</w:t>
      </w:r>
    </w:p>
    <w:p>
      <w:pPr>
        <w:pStyle w:val="Heading2"/>
      </w:pPr>
      <w:r>
        <w:rPr>
          <w:b w:val="0"/>
          <w:i w:val="0"/>
        </w:rPr>
        <w:t>Traitement : coordination interne via DeepWorkGraph</w:t>
      </w:r>
    </w:p>
    <w:p>
      <w:pPr>
        <w:pStyle w:val="IntenseQuote"/>
        <w:spacing w:after="40"/>
      </w:pPr>
      <w:r>
        <w:rPr>
          <w:b/>
          <w:i w:val="0"/>
        </w:rPr>
        <w:t>Modèle fourni par l'éditeur — version du 24 août 2026.</w:t>
      </w:r>
      <w:r>
        <w:rPr>
          <w:b w:val="0"/>
          <w:i w:val="0"/>
        </w:rPr>
        <w:t xml:space="preserve"> La partie « outil » est pré-remplie : c'est ce que nous connaissons et ce dont nous répondons. La partie « contexte » appartient à l'entreprise, qui est responsable de traitement — nous ne pouvons pas l'écrire à sa place. Ce document n'est pas validé par un avocat et ne vaut pas avis juridique. Version en ligne : https://deepworkgraph.com/deploiement-rh</w:t>
      </w:r>
    </w:p>
    <w:p>
      <w:pPr>
        <w:pStyle w:val="IntenseQuote"/>
        <w:spacing w:after="40"/>
      </w:pPr>
      <w:r>
        <w:rPr>
          <w:b/>
          <w:i w:val="0"/>
        </w:rPr>
        <w:t>Légende :</w:t>
      </w:r>
      <w:r>
        <w:rPr>
          <w:b w:val="0"/>
          <w:i w:val="0"/>
        </w:rPr>
        <w:t xml:space="preserve"> ✅ pré-rempli par l'éditeur · ⬜ à compléter par l'entreprise. Ce qui est surligné et entre crochets est à compléter par vous.</w:t>
      </w:r>
    </w:p>
    <w:p>
      <w:pPr>
        <w:spacing w:before="120" w:after="120"/>
        <w:pBdr>
          <w:bottom w:val="single" w:sz="6" w:color="BFBFBF"/>
        </w:pBdr>
      </w:pPr>
    </w:p>
    <w:p>
      <w:r>
        <w:rPr>
          <w:b/>
          <w:i w:val="0"/>
        </w:rPr>
        <w:t>Responsable de traitement :</w:t>
      </w:r>
      <w:r>
        <w:rPr>
          <w:b w:val="0"/>
          <w:i w:val="0"/>
        </w:rPr>
        <w:t xml:space="preserve"> ⬜ </w:t>
      </w:r>
      <w:r>
        <w:rPr>
          <w:b w:val="0"/>
          <w:i w:val="0"/>
          <w:highlight w:val="yellow"/>
        </w:rPr>
        <w:t>[RAISON SOCIALE, SIREN, ADRESSE]</w:t>
      </w:r>
    </w:p>
    <w:p>
      <w:r>
        <w:rPr>
          <w:b/>
          <w:i w:val="0"/>
        </w:rPr>
        <w:t>Représentant :</w:t>
      </w:r>
      <w:r>
        <w:rPr>
          <w:b w:val="0"/>
          <w:i w:val="0"/>
        </w:rPr>
        <w:t xml:space="preserve"> ⬜ </w:t>
      </w:r>
      <w:r>
        <w:rPr>
          <w:b w:val="0"/>
          <w:i w:val="0"/>
          <w:highlight w:val="yellow"/>
        </w:rPr>
        <w:t>[NOM, FONCTION]</w:t>
      </w:r>
    </w:p>
    <w:p>
      <w:r>
        <w:rPr>
          <w:b/>
          <w:i w:val="0"/>
        </w:rPr>
        <w:t>DPO ou référent :</w:t>
      </w:r>
      <w:r>
        <w:rPr>
          <w:b w:val="0"/>
          <w:i w:val="0"/>
        </w:rPr>
        <w:t xml:space="preserve"> ⬜ </w:t>
      </w:r>
      <w:r>
        <w:rPr>
          <w:b w:val="0"/>
          <w:i w:val="0"/>
          <w:highlight w:val="yellow"/>
        </w:rPr>
        <w:t>[NOM, EMAIL]</w:t>
      </w:r>
    </w:p>
    <w:p>
      <w:r>
        <w:rPr>
          <w:b/>
          <w:i w:val="0"/>
        </w:rPr>
        <w:t>Date de l'analyse :</w:t>
      </w:r>
      <w:r>
        <w:rPr>
          <w:b w:val="0"/>
          <w:i w:val="0"/>
        </w:rPr>
        <w:t xml:space="preserve"> ⬜ </w:t>
      </w:r>
      <w:r>
        <w:rPr>
          <w:b w:val="0"/>
          <w:i w:val="0"/>
          <w:highlight w:val="yellow"/>
        </w:rPr>
        <w:t>[DATE]</w:t>
      </w:r>
    </w:p>
    <w:p>
      <w:r>
        <w:rPr>
          <w:b/>
          <w:i w:val="0"/>
        </w:rPr>
        <w:t>Version :</w:t>
      </w:r>
      <w:r>
        <w:rPr>
          <w:b w:val="0"/>
          <w:i w:val="0"/>
        </w:rPr>
        <w:t xml:space="preserve"> ⬜ </w:t>
      </w:r>
      <w:r>
        <w:rPr>
          <w:b w:val="0"/>
          <w:i w:val="0"/>
          <w:highlight w:val="yellow"/>
        </w:rPr>
        <w:t>[1.0]</w:t>
      </w:r>
    </w:p>
    <w:p>
      <w:r>
        <w:rPr>
          <w:b/>
          <w:i w:val="0"/>
        </w:rPr>
        <w:t>Prochaine revue prévue :</w:t>
      </w:r>
      <w:r>
        <w:rPr>
          <w:b w:val="0"/>
          <w:i w:val="0"/>
        </w:rPr>
        <w:t xml:space="preserve"> ⬜ </w:t>
      </w:r>
      <w:r>
        <w:rPr>
          <w:b w:val="0"/>
          <w:i w:val="0"/>
          <w:highlight w:val="yellow"/>
        </w:rPr>
        <w:t>[DATE]</w:t>
      </w:r>
    </w:p>
    <w:p>
      <w:pPr>
        <w:spacing w:before="120" w:after="120"/>
        <w:pBdr>
          <w:bottom w:val="single" w:sz="6" w:color="BFBFBF"/>
        </w:pBdr>
      </w:pPr>
    </w:p>
    <w:p>
      <w:pPr>
        <w:pStyle w:val="Heading1"/>
      </w:pPr>
      <w:r>
        <w:rPr>
          <w:b w:val="0"/>
          <w:i w:val="0"/>
        </w:rPr>
        <w:t>Partie A — Description du traitement</w:t>
      </w:r>
    </w:p>
    <w:p>
      <w:pPr>
        <w:pStyle w:val="Heading2"/>
      </w:pPr>
      <w:r>
        <w:rPr>
          <w:b w:val="0"/>
          <w:i w:val="0"/>
        </w:rPr>
        <w:t>A.1 Pourquoi une analyse d'impact ⬜</w:t>
      </w:r>
    </w:p>
    <w:p>
      <w:r>
        <w:rPr>
          <w:b w:val="0"/>
          <w:i w:val="0"/>
        </w:rPr>
        <w:t xml:space="preserve">Justification retenue par l'entreprise : ⬜ </w:t>
      </w:r>
      <w:r>
        <w:rPr>
          <w:b w:val="0"/>
          <w:i w:val="0"/>
          <w:highlight w:val="yellow"/>
        </w:rPr>
        <w:t>[ex. : traitement de données de salariés produisant des indicateurs nominatifs, à grande échelle au sens de l'entreprise, croisant des données déclaratives et des indicateurs d'activité — l'entreprise apprécie si le traitement figure dans les cas où une AIPD est attendue.]</w:t>
      </w:r>
    </w:p>
    <w:p>
      <w:r>
        <w:rPr>
          <w:b w:val="0"/>
          <w:i w:val="0"/>
        </w:rPr>
        <w:t xml:space="preserve">Décision : ⬜ </w:t>
      </w:r>
      <w:r>
        <w:rPr>
          <w:b w:val="0"/>
          <w:i w:val="0"/>
          <w:highlight w:val="yellow"/>
        </w:rPr>
        <w:t>[AIPD requise / non requise, avec motivation]</w:t>
      </w:r>
    </w:p>
    <w:p>
      <w:pPr>
        <w:pStyle w:val="Heading2"/>
      </w:pPr>
      <w:r>
        <w:rPr>
          <w:b w:val="0"/>
          <w:i w:val="0"/>
        </w:rPr>
        <w:t>A.2 Finalités ⬜</w:t>
      </w:r>
    </w:p>
    <w:p>
      <w:r>
        <w:rPr>
          <w:b w:val="0"/>
          <w:i w:val="0"/>
        </w:rPr>
        <w:t xml:space="preserve">Finalité principale : ⬜ </w:t>
      </w:r>
      <w:r>
        <w:rPr>
          <w:b w:val="0"/>
          <w:i w:val="0"/>
          <w:highlight w:val="yellow"/>
        </w:rPr>
        <w:t>[PHRASE UNIQUE — proposition de l'éditeur : « Fluidifier la coordination entre équipes en rendant visibles les sujets qui demandent de l'alignement. »]</w:t>
      </w:r>
    </w:p>
    <w:p>
      <w:r>
        <w:rPr>
          <w:b w:val="0"/>
          <w:i w:val="0"/>
        </w:rPr>
        <w:t>Finalités explicitement exclues : ✅</w:t>
      </w:r>
    </w:p>
    <w:p>
      <w:pPr>
        <w:pStyle w:val="ListBullet"/>
      </w:pPr>
      <w:r>
        <w:rPr>
          <w:b w:val="0"/>
          <w:i w:val="0"/>
        </w:rPr>
        <w:t>évaluation individuelle des salariés ;</w:t>
      </w:r>
    </w:p>
    <w:p>
      <w:pPr>
        <w:pStyle w:val="ListBullet"/>
      </w:pPr>
      <w:r>
        <w:rPr>
          <w:b w:val="0"/>
          <w:i w:val="0"/>
        </w:rPr>
        <w:t>mesure de la charge individuelle à des fins de décision RH ;</w:t>
      </w:r>
    </w:p>
    <w:p>
      <w:pPr>
        <w:pStyle w:val="ListBullet"/>
      </w:pPr>
      <w:r>
        <w:rPr>
          <w:b w:val="0"/>
          <w:i w:val="0"/>
        </w:rPr>
        <w:t>alimentation d'un entretien annuel, d'un dossier individuel ou d'une</w:t>
      </w:r>
      <w:r>
        <w:t xml:space="preserve"> </w:t>
      </w:r>
      <w:r>
        <w:rPr>
          <w:b w:val="0"/>
          <w:i w:val="0"/>
        </w:rPr>
        <w:t>procédure disciplinaire ;</w:t>
      </w:r>
    </w:p>
    <w:p>
      <w:pPr>
        <w:pStyle w:val="ListBullet"/>
      </w:pPr>
      <w:r>
        <w:rPr>
          <w:b w:val="0"/>
          <w:i w:val="0"/>
        </w:rPr>
        <w:t>contrôle du temps de travail ou du temps de connexion.</w:t>
      </w:r>
    </w:p>
    <w:p>
      <w:pPr>
        <w:pStyle w:val="Heading2"/>
      </w:pPr>
      <w:r>
        <w:rPr>
          <w:b w:val="0"/>
          <w:i w:val="0"/>
        </w:rPr>
        <w:t>A.3 Description fonctionnelle ✅</w:t>
      </w:r>
    </w:p>
    <w:p>
      <w:pPr>
        <w:pStyle w:val="ListNumber"/>
      </w:pPr>
      <w:r>
        <w:rPr>
          <w:b w:val="0"/>
          <w:i w:val="0"/>
        </w:rPr>
        <w:t>Le salarié est sollicité une fois par jour et décrit, en 45 secondes</w:t>
      </w:r>
      <w:r>
        <w:t xml:space="preserve"> </w:t>
      </w:r>
      <w:r>
        <w:rPr>
          <w:b w:val="0"/>
          <w:i w:val="0"/>
        </w:rPr>
        <w:t>environ, ce qui avance et ce qui coince dans son travail (voix ou texte,</w:t>
      </w:r>
      <w:r>
        <w:t xml:space="preserve"> </w:t>
      </w:r>
      <w:r>
        <w:rPr>
          <w:b w:val="0"/>
          <w:i w:val="0"/>
        </w:rPr>
        <w:t>navigateur, sans installation).</w:t>
      </w:r>
    </w:p>
    <w:p>
      <w:pPr>
        <w:pStyle w:val="ListNumber"/>
      </w:pPr>
      <w:r>
        <w:rPr>
          <w:b w:val="0"/>
          <w:i w:val="0"/>
        </w:rPr>
        <w:t>Le contenu est transcrit (si vocal) puis analysé pour en extraire des</w:t>
      </w:r>
      <w:r>
        <w:t xml:space="preserve"> </w:t>
      </w:r>
      <w:r>
        <w:rPr>
          <w:b/>
          <w:i w:val="0"/>
        </w:rPr>
        <w:t>éléments de coordination</w:t>
      </w:r>
      <w:r>
        <w:rPr>
          <w:b w:val="0"/>
          <w:i w:val="0"/>
        </w:rPr>
        <w:t xml:space="preserve"> : décision, responsabilité non attribuée,</w:t>
      </w:r>
      <w:r>
        <w:t xml:space="preserve"> </w:t>
      </w:r>
      <w:r>
        <w:rPr>
          <w:b w:val="0"/>
          <w:i w:val="0"/>
        </w:rPr>
        <w:t>escalade, point d'alignement.</w:t>
      </w:r>
    </w:p>
    <w:p>
      <w:pPr>
        <w:pStyle w:val="ListNumber"/>
      </w:pPr>
      <w:r>
        <w:rPr>
          <w:b w:val="0"/>
          <w:i w:val="0"/>
        </w:rPr>
        <w:t xml:space="preserve">Ces éléments, </w:t>
      </w:r>
      <w:r>
        <w:rPr>
          <w:b/>
          <w:i w:val="0"/>
        </w:rPr>
        <w:t>nominatifs</w:t>
      </w:r>
      <w:r>
        <w:rPr>
          <w:b w:val="0"/>
          <w:i w:val="0"/>
        </w:rPr>
        <w:t>, sont transmis aux personnes concernées et</w:t>
      </w:r>
      <w:r>
        <w:t xml:space="preserve"> </w:t>
      </w:r>
      <w:r>
        <w:rPr>
          <w:b w:val="0"/>
          <w:i w:val="0"/>
        </w:rPr>
        <w:t>agrégés dans une synthèse hebdomadaire destinée à la direction.</w:t>
      </w:r>
    </w:p>
    <w:p>
      <w:pPr>
        <w:pStyle w:val="ListNumber"/>
      </w:pPr>
      <w:r>
        <w:rPr>
          <w:b w:val="0"/>
          <w:i w:val="0"/>
        </w:rPr>
        <w:t>Le contenu brut de l'entretien reste accessible à son seul auteur.</w:t>
      </w:r>
    </w:p>
    <w:p>
      <w:r>
        <w:rPr>
          <w:b/>
          <w:i w:val="0"/>
        </w:rPr>
        <w:t>Règle d'extraction structurante :</w:t>
      </w:r>
      <w:r>
        <w:rPr>
          <w:b w:val="0"/>
          <w:i w:val="0"/>
        </w:rPr>
        <w:t xml:space="preserve"> l'appréciation portant sur une personne (« il met la pression », « je ne me sens pas soutenu ») </w:t>
      </w:r>
      <w:r>
        <w:rPr>
          <w:b/>
          <w:i w:val="0"/>
        </w:rPr>
        <w:t>n'est pas extraite</w:t>
      </w:r>
      <w:r>
        <w:rPr>
          <w:b w:val="0"/>
          <w:i w:val="0"/>
        </w:rPr>
        <w:t xml:space="preserve"> ; seule la friction de coordination l'est (« j'attends cette validation »). Ce n'est pas une règle d'accès mais une règle de production : la donnée n'est pas créée. En cas d'ambiguïté, la règle par défaut est de ne rien produire.</w:t>
      </w:r>
    </w:p>
    <w:p>
      <w:r>
        <w:rPr>
          <w:b/>
          <w:i w:val="0"/>
        </w:rPr>
        <w:t>Conséquence :</w:t>
      </w:r>
      <w:r>
        <w:rPr>
          <w:b w:val="0"/>
          <w:i w:val="0"/>
        </w:rPr>
        <w:t xml:space="preserve"> le traitement ne constitue pas un dispositif d'alerte professionnelle ni un dispositif de recueil de risques psychosociaux.</w:t>
      </w:r>
    </w:p>
    <w:p>
      <w:pPr>
        <w:pStyle w:val="Heading2"/>
      </w:pPr>
      <w:r>
        <w:rPr>
          <w:b w:val="0"/>
          <w:i w:val="0"/>
        </w:rPr>
        <w:t>A.4 Données traitées ✅ / ⬜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F2F2F2"/>
          </w:tcPr>
          <w:p>
            <w:r/>
            <w:r>
              <w:rPr>
                <w:b/>
                <w:i w:val="0"/>
              </w:rPr>
              <w:t>Catégorie</w:t>
            </w:r>
          </w:p>
        </w:tc>
        <w:tc>
          <w:tcPr>
            <w:tcW w:type="dxa" w:w="2880"/>
            <w:shd w:val="clear" w:fill="F2F2F2"/>
          </w:tcPr>
          <w:p>
            <w:r/>
            <w:r>
              <w:rPr>
                <w:b/>
                <w:i w:val="0"/>
              </w:rPr>
              <w:t>Détail</w:t>
            </w:r>
          </w:p>
        </w:tc>
        <w:tc>
          <w:tcPr>
            <w:tcW w:type="dxa" w:w="2880"/>
            <w:shd w:val="clear" w:fill="F2F2F2"/>
          </w:tcPr>
          <w:p>
            <w:r/>
            <w:r>
              <w:rPr>
                <w:b/>
                <w:i w:val="0"/>
              </w:rPr>
              <w:t>Origine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Identité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Nom, prénom, email professionnel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⬜ Entreprise / annuaire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Position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Rôle, missions, expertises, rattachement déclaré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Déclaratif salarié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Contenu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Texte et transcription vocale des entretiens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Déclaratif salarié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Éléments extraits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Décisions, responsabilités, escalades, alignements — nominatifs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Produit par le traitement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Indicateurs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Nombre d'entretiens, nombre de mentions, sujets en cours par personne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Produit par le traitement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Techniques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Journaux de connexion, identifiants de session, mesures d'usage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Produit par le traitement</w:t>
            </w:r>
          </w:p>
        </w:tc>
      </w:tr>
    </w:tbl>
    <w:p>
      <w:r>
        <w:rPr>
          <w:b/>
          <w:i w:val="0"/>
        </w:rPr>
        <w:t>Catégories particulières (art. 9) :</w:t>
      </w:r>
      <w:r>
        <w:rPr>
          <w:b w:val="0"/>
          <w:i w:val="0"/>
        </w:rPr>
        <w:t xml:space="preserve"> non collectées intentionnellement. Risque résiduel : un salarié peut mentionner spontanément un élément de santé ou de vie privée dans un entretien. Mesures : ✅ information invitant à s'en tenir au travail ; contenu de l'entretien non lisible par des tiers ; possibilité de corriger ou supprimer l'entretien.</w:t>
      </w:r>
    </w:p>
    <w:p>
      <w:r>
        <w:rPr>
          <w:b/>
          <w:i w:val="0"/>
        </w:rPr>
        <w:t>Données de mineurs :</w:t>
      </w:r>
      <w:r>
        <w:rPr>
          <w:b w:val="0"/>
          <w:i w:val="0"/>
        </w:rPr>
        <w:t xml:space="preserve"> ⬜ </w:t>
      </w:r>
      <w:r>
        <w:rPr>
          <w:b w:val="0"/>
          <w:i w:val="0"/>
          <w:highlight w:val="yellow"/>
        </w:rPr>
        <w:t>[sans objet / à préciser]</w:t>
      </w:r>
    </w:p>
    <w:p>
      <w:pPr>
        <w:pStyle w:val="Heading2"/>
      </w:pPr>
      <w:r>
        <w:rPr>
          <w:b w:val="0"/>
          <w:i w:val="0"/>
        </w:rPr>
        <w:t>A.5 Personnes concernées ⬜</w:t>
      </w:r>
    </w:p>
    <w:p>
      <w:pPr>
        <w:pStyle w:val="ListBullet"/>
      </w:pPr>
      <w:r>
        <w:rPr>
          <w:b w:val="0"/>
          <w:i w:val="0"/>
        </w:rPr>
        <w:t>Population : ⬜ [ex. : 62 salariés du site de X, dont 8 membres du comité</w:t>
      </w:r>
      <w:r>
        <w:t xml:space="preserve"> </w:t>
      </w:r>
      <w:r>
        <w:rPr>
          <w:b w:val="0"/>
          <w:i w:val="0"/>
        </w:rPr>
        <w:t>de direction et 9 responsables d'équipe]</w:t>
      </w:r>
    </w:p>
    <w:p>
      <w:pPr>
        <w:pStyle w:val="ListBullet"/>
      </w:pPr>
      <w:r>
        <w:rPr>
          <w:b w:val="0"/>
          <w:i w:val="0"/>
        </w:rPr>
        <w:t>Salariés en situation particulière : ⬜ [alternants, intérimaires,</w:t>
      </w:r>
      <w:r>
        <w:t xml:space="preserve"> </w:t>
      </w:r>
      <w:r>
        <w:rPr>
          <w:b w:val="0"/>
          <w:i w:val="0"/>
        </w:rPr>
        <w:t>prestataires — préciser s'ils sont inclus]</w:t>
      </w:r>
    </w:p>
    <w:p>
      <w:pPr>
        <w:pStyle w:val="ListBullet"/>
      </w:pPr>
      <w:r>
        <w:rPr>
          <w:b w:val="0"/>
          <w:i w:val="0"/>
        </w:rPr>
        <w:t xml:space="preserve">Représentants du personnel : ⬜ </w:t>
      </w:r>
      <w:r>
        <w:rPr>
          <w:b w:val="0"/>
          <w:i w:val="0"/>
          <w:highlight w:val="yellow"/>
        </w:rPr>
        <w:t>[préciser le traitement de leur cas]</w:t>
      </w:r>
    </w:p>
    <w:p>
      <w:pPr>
        <w:pStyle w:val="Heading2"/>
      </w:pPr>
      <w:r>
        <w:rPr>
          <w:b w:val="0"/>
          <w:i w:val="0"/>
        </w:rPr>
        <w:t>A.6 Destinataires ✅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Donnée</w:t>
            </w:r>
          </w:p>
        </w:tc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Personne concernée</w:t>
            </w:r>
          </w:p>
        </w:tc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Direction et Comex</w:t>
            </w:r>
          </w:p>
        </w:tc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Éditeur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Contenu de l'entretien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Oui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Non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Non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Éléments extraits la concernant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Oui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Oui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Non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Indicateurs, carte d'équipe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Oui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Oui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Non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Synthèse hebdomadaire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Selon réglage de l'espace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Oui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Non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Fiche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Oui (édition)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Oui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Non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Données techniques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Les siennes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Facturation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Oui (exploitation, support)</w:t>
            </w:r>
          </w:p>
        </w:tc>
      </w:tr>
    </w:tbl>
    <w:p>
      <w:r>
        <w:rPr>
          <w:b w:val="0"/>
          <w:i w:val="0"/>
        </w:rPr>
        <w:t>Le support de l'éditeur n'a pas accès au contenu des entretiens. Un accès à un compte pour diagnostic est sollicité auprès de la personne concernée.</w:t>
      </w:r>
    </w:p>
    <w:p>
      <w:r>
        <w:rPr>
          <w:b w:val="0"/>
          <w:i w:val="0"/>
        </w:rPr>
        <w:t>Palier hiérarchique intermédiaire : non ouvert à la date de cette version.</w:t>
      </w:r>
    </w:p>
    <w:p>
      <w:pPr>
        <w:pStyle w:val="Heading2"/>
      </w:pPr>
      <w:r>
        <w:rPr>
          <w:b w:val="0"/>
          <w:i w:val="0"/>
        </w:rPr>
        <w:t>A.7 Sous-traitants et flux ✅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Sous-traitant</w:t>
            </w:r>
          </w:p>
        </w:tc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Rôle</w:t>
            </w:r>
          </w:p>
        </w:tc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Localisation</w:t>
            </w:r>
          </w:p>
        </w:tc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Encadrement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AGSENS ENTREPRISE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Éditeur, sous-traitant du responsable de traitement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France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Contrat + accord de sous-traitance sur demande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Hetzner Online GmbH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Hébergement, base de données, sauvegardes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Allemagne (UE)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Accord de sous-traitance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Mistral AI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Transcription vocale, extraction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France (UE)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Accord de sous-traitance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Anthropic, PBC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Extraction structurée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États-Unis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Clauses contractuelles types + non-rétention après inférence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Resend, Inc.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Emails transactionnels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États-Unis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Clauses contractuelles types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Stripe Payments Europe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Paiement de l'abonnement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Irlande (UE)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Clauses contractuelles types pour les flux intra-groupe</w:t>
            </w:r>
          </w:p>
        </w:tc>
      </w:tr>
    </w:tbl>
    <w:p>
      <w:r>
        <w:rPr>
          <w:b/>
          <w:i w:val="0"/>
        </w:rPr>
        <w:t>Transferts hors UE :</w:t>
      </w:r>
      <w:r>
        <w:rPr>
          <w:b w:val="0"/>
          <w:i w:val="0"/>
        </w:rPr>
        <w:t xml:space="preserve"> deux flux (extraction Anthropic, emails Resend), encadrés par clauses contractuelles types. Mesure complémentaire pour l'extraction : non-conservation du contenu après traitement.</w:t>
      </w:r>
    </w:p>
    <w:p>
      <w:r>
        <w:rPr>
          <w:b/>
          <w:i w:val="0"/>
        </w:rPr>
        <w:t>Entraînement de modèles :</w:t>
      </w:r>
      <w:r>
        <w:rPr>
          <w:b w:val="0"/>
          <w:i w:val="0"/>
        </w:rPr>
        <w:t xml:space="preserve"> aucun contenu n'est utilisé pour entraîner un modèle, par aucun des sous-traitants ci-dessus.</w:t>
      </w:r>
    </w:p>
    <w:p>
      <w:pPr>
        <w:pStyle w:val="Heading2"/>
      </w:pPr>
      <w:r>
        <w:rPr>
          <w:b w:val="0"/>
          <w:i w:val="0"/>
        </w:rPr>
        <w:t>A.8 Durées de conservation ✅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  <w:shd w:val="clear" w:fill="F2F2F2"/>
          </w:tcPr>
          <w:p>
            <w:r/>
            <w:r>
              <w:rPr>
                <w:b/>
                <w:i w:val="0"/>
              </w:rPr>
              <w:t>Donnée</w:t>
            </w:r>
          </w:p>
        </w:tc>
        <w:tc>
          <w:tcPr>
            <w:tcW w:type="dxa" w:w="2880"/>
            <w:shd w:val="clear" w:fill="F2F2F2"/>
          </w:tcPr>
          <w:p>
            <w:r/>
            <w:r>
              <w:rPr>
                <w:b/>
                <w:i w:val="0"/>
              </w:rPr>
              <w:t>Durée</w:t>
            </w:r>
          </w:p>
        </w:tc>
        <w:tc>
          <w:tcPr>
            <w:tcW w:type="dxa" w:w="2880"/>
            <w:shd w:val="clear" w:fill="F2F2F2"/>
          </w:tcPr>
          <w:p>
            <w:r/>
            <w:r>
              <w:rPr>
                <w:b/>
                <w:i w:val="0"/>
              </w:rPr>
              <w:t>Sort à l'échéance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Entretiens, éléments extraits, fiches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Durée de l'abonnement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Effacement en cascade sous 30 jours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Compte utilisateur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Jusqu'à suppression ou 24 mois d'inactivité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Effacement réel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Journaux applicatifs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30 jours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Purge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Mesures d'usage produit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12 mois maximum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Purge automatique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Facturation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10 ans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Obligation comptable</w:t>
            </w:r>
          </w:p>
        </w:tc>
      </w:tr>
      <w:tr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Sauvegardes chiffrées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Rotation glissante</w:t>
            </w:r>
          </w:p>
        </w:tc>
        <w:tc>
          <w:tcPr>
            <w:tcW w:type="dxa" w:w="2880"/>
          </w:tcPr>
          <w:p>
            <w:r/>
            <w:r>
              <w:rPr>
                <w:b w:val="0"/>
                <w:i w:val="0"/>
              </w:rPr>
              <w:t>Purge à expiration</w:t>
            </w:r>
          </w:p>
        </w:tc>
      </w:tr>
    </w:tbl>
    <w:p>
      <w:r>
        <w:rPr>
          <w:b w:val="0"/>
          <w:i w:val="0"/>
        </w:rPr>
        <w:t>Pas de suppression logique : l'effacement est réel, en base, avec cascade.</w:t>
      </w:r>
    </w:p>
    <w:p>
      <w:r>
        <w:rPr>
          <w:b w:val="0"/>
          <w:i w:val="0"/>
        </w:rPr>
        <w:t xml:space="preserve">Durée plus courte souhaitée par l'entreprise : ⬜ </w:t>
      </w:r>
      <w:r>
        <w:rPr>
          <w:b w:val="0"/>
          <w:i w:val="0"/>
          <w:highlight w:val="yellow"/>
        </w:rPr>
        <w:t>[le cas échéant, à poser avec l'éditeur avant le lancement]</w:t>
      </w:r>
    </w:p>
    <w:p>
      <w:pPr>
        <w:spacing w:before="120" w:after="120"/>
        <w:pBdr>
          <w:bottom w:val="single" w:sz="6" w:color="BFBFBF"/>
        </w:pBdr>
      </w:pPr>
    </w:p>
    <w:p>
      <w:pPr>
        <w:pStyle w:val="Heading1"/>
      </w:pPr>
      <w:r>
        <w:rPr>
          <w:b w:val="0"/>
          <w:i w:val="0"/>
        </w:rPr>
        <w:t>Partie B — Nécessité et proportionnalité</w:t>
      </w:r>
    </w:p>
    <w:p>
      <w:pPr>
        <w:pStyle w:val="Heading2"/>
      </w:pPr>
      <w:r>
        <w:rPr>
          <w:b w:val="0"/>
          <w:i w:val="0"/>
        </w:rPr>
        <w:t>B.1 Base légale et test de mise en balance ⬜</w:t>
      </w:r>
    </w:p>
    <w:p>
      <w:r>
        <w:rPr>
          <w:b w:val="0"/>
          <w:i w:val="0"/>
        </w:rPr>
        <w:t xml:space="preserve">Base retenue : ⬜ </w:t>
      </w:r>
      <w:r>
        <w:rPr>
          <w:b w:val="0"/>
          <w:i w:val="0"/>
          <w:highlight w:val="yellow"/>
        </w:rPr>
        <w:t>[l'éditeur retient pour sa part l'intérêt légitime, art. 6.1.f]</w:t>
      </w:r>
    </w:p>
    <w:p>
      <w:r>
        <w:rPr>
          <w:b/>
          <w:i w:val="0"/>
        </w:rPr>
        <w:t>Pourquoi pas le consentement</w:t>
      </w:r>
      <w:r>
        <w:rPr>
          <w:b w:val="0"/>
          <w:i w:val="0"/>
        </w:rPr>
        <w:t xml:space="preserve"> ✅ : dans une relation de travail, le lien de subordination rend le consentement rarement libre au sens du RGPD. Un consentement fragile offre une sécurité juridique moindre qu'une base correctement documentée.</w:t>
      </w:r>
    </w:p>
    <w:p>
      <w:r>
        <w:rPr>
          <w:b/>
          <w:i w:val="0"/>
        </w:rPr>
        <w:t>Pourquoi pas l'exécution du contrat de travail</w:t>
      </w:r>
      <w:r>
        <w:rPr>
          <w:b w:val="0"/>
          <w:i w:val="0"/>
        </w:rPr>
        <w:t xml:space="preserve"> ✅ : la base couvre ce qui est nécessaire au contrat, ce qu'un outil de coordination à participation volontaire n'est pas.</w:t>
      </w:r>
    </w:p>
    <w:p>
      <w:r>
        <w:rPr>
          <w:b/>
          <w:i w:val="0"/>
        </w:rPr>
        <w:t>Test de mise en balance</w:t>
      </w:r>
      <w:r>
        <w:rPr>
          <w:b w:val="0"/>
          <w:i w:val="0"/>
        </w:rPr>
        <w:t xml:space="preserve"> ⬜ :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val="clear" w:fill="F2F2F2"/>
          </w:tcPr>
          <w:p>
            <w:r/>
            <w:r>
              <w:rPr>
                <w:b/>
                <w:i w:val="0"/>
              </w:rPr>
              <w:t>Élément</w:t>
            </w:r>
          </w:p>
        </w:tc>
        <w:tc>
          <w:tcPr>
            <w:tcW w:type="dxa" w:w="4320"/>
            <w:shd w:val="clear" w:fill="F2F2F2"/>
          </w:tcPr>
          <w:p>
            <w:r/>
            <w:r>
              <w:rPr>
                <w:b/>
                <w:i w:val="0"/>
              </w:rPr>
              <w:t>À documenter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 w:val="0"/>
                <w:i w:val="0"/>
              </w:rPr>
              <w:t>Intérêt légitime poursuivi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i w:val="0"/>
              </w:rPr>
              <w:t xml:space="preserve">⬜ </w:t>
            </w:r>
            <w:r>
              <w:rPr>
                <w:b w:val="0"/>
                <w:i w:val="0"/>
                <w:highlight w:val="yellow"/>
              </w:rPr>
              <w:t>[ex. : réduire les délais de résolution des sujets inter-équipes]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 w:val="0"/>
                <w:i w:val="0"/>
              </w:rPr>
              <w:t>Nécessité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i w:val="0"/>
              </w:rPr>
              <w:t xml:space="preserve">⬜ </w:t>
            </w:r>
            <w:r>
              <w:rPr>
                <w:b w:val="0"/>
                <w:i w:val="0"/>
                <w:highlight w:val="yellow"/>
              </w:rPr>
              <w:t>[pourquoi les outils existants — réunions, messagerie, entretiens — ne suffisent pas]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 w:val="0"/>
                <w:i w:val="0"/>
              </w:rPr>
              <w:t>Incidence sur les personnes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i w:val="0"/>
              </w:rPr>
              <w:t xml:space="preserve">⬜ </w:t>
            </w:r>
            <w:r>
              <w:rPr>
                <w:b w:val="0"/>
                <w:i w:val="0"/>
                <w:highlight w:val="yellow"/>
              </w:rPr>
              <w:t>[visibilité nominative, risque d'autocensure, sentiment d'observation]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 w:val="0"/>
                <w:i w:val="0"/>
              </w:rPr>
              <w:t>Attentes raisonnables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i w:val="0"/>
              </w:rPr>
              <w:t xml:space="preserve">⬜ </w:t>
            </w:r>
            <w:r>
              <w:rPr>
                <w:b w:val="0"/>
                <w:i w:val="0"/>
                <w:highlight w:val="yellow"/>
              </w:rPr>
              <w:t>[ce qu'un salarié peut raisonnablement attendre dans votre culture d'entreprise]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 w:val="0"/>
                <w:i w:val="0"/>
              </w:rPr>
              <w:t>Mesures compensatoires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i w:val="0"/>
              </w:rPr>
              <w:t xml:space="preserve">⬜ </w:t>
            </w:r>
            <w:r>
              <w:rPr>
                <w:b w:val="0"/>
                <w:i w:val="0"/>
                <w:highlight w:val="yellow"/>
              </w:rPr>
              <w:t>[voir C.4]</w:t>
            </w:r>
          </w:p>
        </w:tc>
      </w:tr>
      <w:tr>
        <w:tc>
          <w:tcPr>
            <w:tcW w:type="dxa" w:w="4320"/>
          </w:tcPr>
          <w:p>
            <w:r/>
            <w:r>
              <w:rPr>
                <w:b w:val="0"/>
                <w:i w:val="0"/>
              </w:rPr>
              <w:t>Conclusion</w:t>
            </w:r>
          </w:p>
        </w:tc>
        <w:tc>
          <w:tcPr>
            <w:tcW w:type="dxa" w:w="4320"/>
          </w:tcPr>
          <w:p>
            <w:r/>
            <w:r>
              <w:rPr>
                <w:b w:val="0"/>
                <w:i w:val="0"/>
              </w:rPr>
              <w:t xml:space="preserve">⬜ </w:t>
            </w:r>
            <w:r>
              <w:rPr>
                <w:b w:val="0"/>
                <w:i w:val="0"/>
                <w:highlight w:val="yellow"/>
              </w:rPr>
              <w:t>[l'intérêt légitime prévaut / ne prévaut pas]</w:t>
            </w:r>
          </w:p>
        </w:tc>
      </w:tr>
    </w:tbl>
    <w:p>
      <w:pPr>
        <w:pStyle w:val="Heading2"/>
      </w:pPr>
      <w:r>
        <w:rPr>
          <w:b w:val="0"/>
          <w:i w:val="0"/>
        </w:rPr>
        <w:t>B.2 Minimisation ✅ / ⬜</w:t>
      </w:r>
    </w:p>
    <w:p>
      <w:pPr>
        <w:pStyle w:val="ListBullet"/>
      </w:pPr>
      <w:r>
        <w:rPr>
          <w:b w:val="0"/>
          <w:i w:val="0"/>
        </w:rPr>
        <w:t>✅ L'outil ne collecte que du déclaratif : ni email, ni messagerie, ni</w:t>
      </w:r>
      <w:r>
        <w:t xml:space="preserve"> </w:t>
      </w:r>
      <w:r>
        <w:rPr>
          <w:b w:val="0"/>
          <w:i w:val="0"/>
        </w:rPr>
        <w:t>agenda, ni poste de travail, ni géolocalisation, ni temps de connexion.</w:t>
      </w:r>
    </w:p>
    <w:p>
      <w:pPr>
        <w:pStyle w:val="ListBullet"/>
      </w:pPr>
      <w:r>
        <w:rPr>
          <w:b w:val="0"/>
          <w:i w:val="0"/>
        </w:rPr>
        <w:t>✅ Le contenu brut n'est diffusé à personne ; seuls des éléments de</w:t>
      </w:r>
      <w:r>
        <w:t xml:space="preserve"> </w:t>
      </w:r>
      <w:r>
        <w:rPr>
          <w:b w:val="0"/>
          <w:i w:val="0"/>
        </w:rPr>
        <w:t>coordination structurés circulent.</w:t>
      </w:r>
    </w:p>
    <w:p>
      <w:pPr>
        <w:pStyle w:val="ListBullet"/>
      </w:pPr>
      <w:r>
        <w:rPr>
          <w:b w:val="0"/>
          <w:i w:val="0"/>
        </w:rPr>
        <w:t>✅ L'appréciation sur les personnes n'est pas produite.</w:t>
      </w:r>
    </w:p>
    <w:p>
      <w:pPr>
        <w:pStyle w:val="ListBullet"/>
      </w:pPr>
      <w:r>
        <w:rPr>
          <w:b w:val="0"/>
          <w:i w:val="0"/>
        </w:rPr>
        <w:t xml:space="preserve">⬜ Périmètre restreint au strict nécessaire : </w:t>
      </w:r>
      <w:r>
        <w:rPr>
          <w:b w:val="0"/>
          <w:i w:val="0"/>
          <w:highlight w:val="yellow"/>
        </w:rPr>
        <w:t>[population, durée du pilote]</w:t>
      </w:r>
    </w:p>
    <w:p>
      <w:pPr>
        <w:pStyle w:val="Heading2"/>
      </w:pPr>
      <w:r>
        <w:rPr>
          <w:b w:val="0"/>
          <w:i w:val="0"/>
        </w:rPr>
        <w:t>B.3 Qualité et exactitude ✅</w:t>
      </w:r>
    </w:p>
    <w:p>
      <w:pPr>
        <w:pStyle w:val="ListBullet"/>
      </w:pPr>
      <w:r>
        <w:rPr>
          <w:b w:val="0"/>
          <w:i w:val="0"/>
        </w:rPr>
        <w:t>L'auteur voit ce qui a été retenu de son entretien juste après.</w:t>
      </w:r>
    </w:p>
    <w:p>
      <w:pPr>
        <w:pStyle w:val="ListBullet"/>
      </w:pPr>
      <w:r>
        <w:rPr>
          <w:b w:val="0"/>
          <w:i w:val="0"/>
        </w:rPr>
        <w:t>Il peut corriger l'entretien : les éléments extraits sont alors recalculés.</w:t>
      </w:r>
    </w:p>
    <w:p>
      <w:pPr>
        <w:pStyle w:val="ListBullet"/>
      </w:pPr>
      <w:r>
        <w:rPr>
          <w:b w:val="0"/>
          <w:i w:val="0"/>
        </w:rPr>
        <w:t>Il peut supprimer l'entretien : les éléments extraits sont supprimés avec</w:t>
      </w:r>
      <w:r>
        <w:t xml:space="preserve"> </w:t>
      </w:r>
      <w:r>
        <w:rPr>
          <w:b w:val="0"/>
          <w:i w:val="0"/>
        </w:rPr>
        <w:t>lui.</w:t>
      </w:r>
    </w:p>
    <w:p>
      <w:pPr>
        <w:pStyle w:val="ListBullet"/>
      </w:pPr>
      <w:r>
        <w:rPr>
          <w:b w:val="0"/>
          <w:i w:val="0"/>
        </w:rPr>
        <w:t>Les éléments extraits portent un indicateur de confiance ; ils restent</w:t>
      </w:r>
      <w:r>
        <w:t xml:space="preserve"> </w:t>
      </w:r>
      <w:r>
        <w:rPr>
          <w:b w:val="0"/>
          <w:i w:val="0"/>
        </w:rPr>
        <w:t>révisables à la main.</w:t>
      </w:r>
    </w:p>
    <w:p>
      <w:pPr>
        <w:pStyle w:val="Heading2"/>
      </w:pPr>
      <w:r>
        <w:rPr>
          <w:b w:val="0"/>
          <w:i w:val="0"/>
        </w:rPr>
        <w:t>B.4 Information et droits ✅ / ⬜</w:t>
      </w:r>
    </w:p>
    <w:p>
      <w:pPr>
        <w:pStyle w:val="ListBullet"/>
      </w:pPr>
      <w:r>
        <w:rPr>
          <w:b w:val="0"/>
          <w:i w:val="0"/>
        </w:rPr>
        <w:t>⬜ Note d'information individuelle remise avant le premier accès (modèle</w:t>
      </w:r>
      <w:r>
        <w:t xml:space="preserve"> </w:t>
      </w:r>
      <w:r>
        <w:rPr>
          <w:b w:val="0"/>
          <w:i w:val="0"/>
        </w:rPr>
        <w:t>fourni).</w:t>
      </w:r>
    </w:p>
    <w:p>
      <w:pPr>
        <w:pStyle w:val="ListBullet"/>
      </w:pPr>
      <w:r>
        <w:rPr>
          <w:b w:val="0"/>
          <w:i w:val="0"/>
        </w:rPr>
        <w:t>⬜ Information-consultation du CSE (modèle fourni).</w:t>
      </w:r>
    </w:p>
    <w:p>
      <w:pPr>
        <w:pStyle w:val="ListBullet"/>
      </w:pPr>
      <w:r>
        <w:rPr>
          <w:b w:val="0"/>
          <w:i w:val="0"/>
        </w:rPr>
        <w:t>✅ Accès : fiche et entretiens consultables en permanence par la personne.</w:t>
      </w:r>
    </w:p>
    <w:p>
      <w:pPr>
        <w:pStyle w:val="ListBullet"/>
      </w:pPr>
      <w:r>
        <w:rPr>
          <w:b w:val="0"/>
          <w:i w:val="0"/>
        </w:rPr>
        <w:t>✅ Rectification : édition de la fiche et des entretiens.</w:t>
      </w:r>
    </w:p>
    <w:p>
      <w:pPr>
        <w:pStyle w:val="ListBullet"/>
      </w:pPr>
      <w:r>
        <w:rPr>
          <w:b w:val="0"/>
          <w:i w:val="0"/>
        </w:rPr>
        <w:t>✅ Effacement : suppression du compte en libre-service. Effacement des</w:t>
      </w:r>
      <w:r>
        <w:t xml:space="preserve"> </w:t>
      </w:r>
      <w:r>
        <w:rPr>
          <w:b w:val="0"/>
          <w:i w:val="0"/>
        </w:rPr>
        <w:t>contenus détenus par l'entreprise sur demande auprès de l'éditeur,</w:t>
      </w:r>
      <w:r>
        <w:t xml:space="preserve"> </w:t>
      </w:r>
      <w:r>
        <w:rPr>
          <w:b w:val="0"/>
          <w:i w:val="0"/>
        </w:rPr>
        <w:t>traité à la main sous 30 jours (⚠️ pas de bouton administrateur à ce jour).</w:t>
      </w:r>
    </w:p>
    <w:p>
      <w:pPr>
        <w:pStyle w:val="ListBullet"/>
      </w:pPr>
      <w:r>
        <w:rPr>
          <w:b w:val="0"/>
          <w:i w:val="0"/>
        </w:rPr>
        <w:t>✅ Opposition : l'absence de réponse ne produit aucune donnée ; les rappels</w:t>
      </w:r>
      <w:r>
        <w:t xml:space="preserve"> </w:t>
      </w:r>
      <w:r>
        <w:rPr>
          <w:b w:val="0"/>
          <w:i w:val="0"/>
        </w:rPr>
        <w:t>se coupent dans les préférences ; la fiche se désactive côté administrateur.</w:t>
      </w:r>
    </w:p>
    <w:p>
      <w:pPr>
        <w:pStyle w:val="ListBullet"/>
      </w:pPr>
      <w:r>
        <w:rPr>
          <w:b w:val="0"/>
          <w:i w:val="0"/>
        </w:rPr>
        <w:t>✅ Absence de décision automatisée produisant des effets juridiques.</w:t>
      </w:r>
    </w:p>
    <w:p>
      <w:pPr>
        <w:spacing w:before="120" w:after="120"/>
        <w:pBdr>
          <w:bottom w:val="single" w:sz="6" w:color="BFBFBF"/>
        </w:pBdr>
      </w:pPr>
    </w:p>
    <w:p>
      <w:pPr>
        <w:pStyle w:val="Heading1"/>
      </w:pPr>
      <w:r>
        <w:rPr>
          <w:b w:val="0"/>
          <w:i w:val="0"/>
        </w:rPr>
        <w:t>Partie C — Risques</w:t>
      </w:r>
    </w:p>
    <w:p>
      <w:pPr>
        <w:pStyle w:val="Heading2"/>
      </w:pPr>
      <w:r>
        <w:rPr>
          <w:b w:val="0"/>
          <w:i w:val="0"/>
        </w:rPr>
        <w:t>C.1 Risques classiques sur les données ✅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Risque</w:t>
            </w:r>
          </w:p>
        </w:tc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Impact</w:t>
            </w:r>
          </w:p>
        </w:tc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Mesures existantes</w:t>
            </w:r>
          </w:p>
        </w:tc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Gravité résiduelle ⬜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Accès illégitime aux données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Lecture de contenus professionnels sensibles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Chiffrement TLS 1.3 en transit, cloisonnement multi-espaces en base, mots de passe hachés, accès serveur par clé uniquement, sauvegardes chiffrées, journal d'audit sur les fiches sensibles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⬜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Modification non désirée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Élément attribué à tort à une personne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Traçabilité auteur/source, indicateur de confiance, correction et suppression par l'auteur, recalcul à l'édition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⬜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Disparition de données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Perte d'historique de coordination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Sauvegardes chiffrées hors-site avec rotation, restauration testée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⬜</w:t>
            </w:r>
          </w:p>
        </w:tc>
      </w:tr>
    </w:tbl>
    <w:p>
      <w:pPr>
        <w:pStyle w:val="Heading2"/>
      </w:pPr>
      <w:r>
        <w:rPr>
          <w:b w:val="0"/>
          <w:i w:val="0"/>
        </w:rPr>
        <w:t>C.2 Risques propres à ce traitement ✅ / ⬜</w:t>
      </w:r>
    </w:p>
    <w:tbl>
      <w:tblPr>
        <w:tblStyle w:val="TableGrid"/>
        <w:tblW w:type="auto" w:w="0"/>
        <w:tblLayout w:type="autofit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Risque</w:t>
            </w:r>
          </w:p>
        </w:tc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Description</w:t>
            </w:r>
          </w:p>
        </w:tc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Mesures existantes ✅</w:t>
            </w:r>
          </w:p>
        </w:tc>
        <w:tc>
          <w:tcPr>
            <w:tcW w:type="dxa" w:w="2160"/>
            <w:shd w:val="clear" w:fill="F2F2F2"/>
          </w:tcPr>
          <w:p>
            <w:r/>
            <w:r>
              <w:rPr>
                <w:b/>
                <w:i w:val="0"/>
              </w:rPr>
              <w:t>Mesures entreprise ⬜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Détournement de finalité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Les indicateurs servent à apprécier des personnes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Aucun score ni classement calculé ; aucune passerelle SIRH ou évaluation ; distinction compteur/appréciation écrite dans l'information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⬜ Engagement écrit de non-utilisation ; contrôle par le DPO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Mauvaise lecture d'un indicateur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« Mentionnée 5 fois » lu comme une contre-performance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Distinction explicitée dans la note d'information et la note CSE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⬜ Formation des lecteurs (direction, Comex) avant ouverture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Autocensure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Le salarié se tait, la matière perd sa valeur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Le contenu de l'entretien n'est lisible que par son auteur ; l'appréciation n'est pas extraite ; correction et suppression possibles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⬜ Communication interne sur ce qui remonte et ce qui ne remonte pas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Sentiment de surveillance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Vécu comme un outil de contrôle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Pas de mesure de temps ni d'activité ; participation sans effet en cas d'abstention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⬜ Association du CSE en amont ; point d'étape à 30 jours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Court-circuit hiérarchique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Un responsable apprend par sa direction ce que son équipe a dit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Palier manager non ouvert à ce jour ; règle d'ordonnancement prévue (le responsable ne reçoit jamais après la direction)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⬜ Information des responsables d'équipe avant les équipes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Erreur de classement d'un propos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Une appréciation traitée comme une friction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Double extraction et indicateur de confiance ; règle par défaut : ne rien produire en cas de doute ; visibilité immédiate par l'auteur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⬜ Point de contrôle sur les éléments corrigés ou supprimés au bout d'un mois</w:t>
            </w:r>
          </w:p>
        </w:tc>
      </w:tr>
      <w:tr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Dépendance à un sous-traitant hors UE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Extraction partiellement hors UE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Clauses contractuelles types, non-rétention après traitement, redondance avec un fournisseur UE</w:t>
            </w:r>
          </w:p>
        </w:tc>
        <w:tc>
          <w:tcPr>
            <w:tcW w:type="dxa" w:w="2160"/>
          </w:tcPr>
          <w:p>
            <w:r/>
            <w:r>
              <w:rPr>
                <w:b w:val="0"/>
                <w:i w:val="0"/>
              </w:rPr>
              <w:t>⬜ Appréciation du risque résiduel</w:t>
            </w:r>
          </w:p>
        </w:tc>
      </w:tr>
    </w:tbl>
    <w:p>
      <w:pPr>
        <w:pStyle w:val="Heading2"/>
      </w:pPr>
      <w:r>
        <w:rPr>
          <w:b w:val="0"/>
          <w:i w:val="0"/>
        </w:rPr>
        <w:t>C.3 Mesures de sécurité de l'éditeur ✅</w:t>
      </w:r>
    </w:p>
    <w:p>
      <w:pPr>
        <w:pStyle w:val="ListBullet"/>
      </w:pPr>
      <w:r>
        <w:rPr>
          <w:b w:val="0"/>
          <w:i w:val="0"/>
        </w:rPr>
        <w:t>Chiffrement TLS 1.3 pour tous les flux.</w:t>
      </w:r>
    </w:p>
    <w:p>
      <w:pPr>
        <w:pStyle w:val="ListBullet"/>
      </w:pPr>
      <w:r>
        <w:rPr>
          <w:b w:val="0"/>
          <w:i w:val="0"/>
        </w:rPr>
        <w:t>Mots de passe hachés (bcrypt, coût ≥ 12) ; authentification auto-hébergée.</w:t>
      </w:r>
    </w:p>
    <w:p>
      <w:pPr>
        <w:pStyle w:val="ListBullet"/>
      </w:pPr>
      <w:r>
        <w:rPr>
          <w:b w:val="0"/>
          <w:i w:val="0"/>
        </w:rPr>
        <w:t>Cloisonnement strict des espaces clients en base de données.</w:t>
      </w:r>
    </w:p>
    <w:p>
      <w:pPr>
        <w:pStyle w:val="ListBullet"/>
      </w:pPr>
      <w:r>
        <w:rPr>
          <w:b w:val="0"/>
          <w:i w:val="0"/>
        </w:rPr>
        <w:t>Accès administrateur des serveurs par clé, mot de passe désactivé.</w:t>
      </w:r>
    </w:p>
    <w:p>
      <w:pPr>
        <w:pStyle w:val="ListBullet"/>
      </w:pPr>
      <w:r>
        <w:rPr>
          <w:b w:val="0"/>
          <w:i w:val="0"/>
        </w:rPr>
        <w:t>Sauvegardes chiffrées hors-site, rotation glissante.</w:t>
      </w:r>
    </w:p>
    <w:p>
      <w:pPr>
        <w:pStyle w:val="ListBullet"/>
      </w:pPr>
      <w:r>
        <w:rPr>
          <w:b w:val="0"/>
          <w:i w:val="0"/>
        </w:rPr>
        <w:t>Journal d'audit sur les modifications des fiches sensibles.</w:t>
      </w:r>
    </w:p>
    <w:p>
      <w:pPr>
        <w:pStyle w:val="ListBullet"/>
      </w:pPr>
      <w:r>
        <w:rPr>
          <w:b w:val="0"/>
          <w:i w:val="0"/>
        </w:rPr>
        <w:t>Mesures d'usage produit auto-hébergées, masquage strict des saisies,</w:t>
      </w:r>
      <w:r>
        <w:t xml:space="preserve"> </w:t>
      </w:r>
      <w:r>
        <w:rPr>
          <w:b w:val="0"/>
          <w:i w:val="0"/>
        </w:rPr>
        <w:t>désactivation possible par espace.</w:t>
      </w:r>
    </w:p>
    <w:p>
      <w:r>
        <w:rPr>
          <w:b w:val="0"/>
          <w:i w:val="0"/>
        </w:rPr>
        <w:t>Détail public et daté : https://deepworkgraph.com/legal/privacy</w:t>
      </w:r>
    </w:p>
    <w:p>
      <w:r>
        <w:rPr>
          <w:b/>
          <w:i w:val="0"/>
        </w:rPr>
        <w:t>Ce que l'éditeur n'a pas</w:t>
      </w:r>
      <w:r>
        <w:rPr>
          <w:b w:val="0"/>
          <w:i w:val="0"/>
        </w:rPr>
        <w:t xml:space="preserve"> ✅ : pas de DPO désigné (seuils de l'art. 37 non atteints), pas de certification ISO 27001, pas d'agrément hébergeur de données de santé, pas d'avis d'avocat externe sur les présents modèles.</w:t>
      </w:r>
    </w:p>
    <w:p>
      <w:pPr>
        <w:pStyle w:val="Heading2"/>
      </w:pPr>
      <w:r>
        <w:rPr>
          <w:b w:val="0"/>
          <w:i w:val="0"/>
        </w:rPr>
        <w:t>C.4 Mesures compensatoires retenues ⬜</w:t>
      </w:r>
    </w:p>
    <w:p>
      <w:pPr>
        <w:pStyle w:val="ListBullet"/>
      </w:pPr>
      <w:r>
        <w:rPr>
          <w:b w:val="0"/>
          <w:i w:val="0"/>
        </w:rPr>
        <w:t>⬜ [Ouverture progressive : périmètre pilote, durée, conditions</w:t>
      </w:r>
      <w:r>
        <w:t xml:space="preserve"> </w:t>
      </w:r>
      <w:r>
        <w:rPr>
          <w:b w:val="0"/>
          <w:i w:val="0"/>
        </w:rPr>
        <w:t>d'extension]</w:t>
      </w:r>
    </w:p>
    <w:p>
      <w:pPr>
        <w:pStyle w:val="ListBullet"/>
      </w:pPr>
      <w:r>
        <w:rPr>
          <w:b w:val="0"/>
          <w:i w:val="0"/>
        </w:rPr>
        <w:t>⬜ [Engagement écrit de non-utilisation des indicateurs à des fins</w:t>
      </w:r>
      <w:r>
        <w:t xml:space="preserve"> </w:t>
      </w:r>
      <w:r>
        <w:rPr>
          <w:b w:val="0"/>
          <w:i w:val="0"/>
        </w:rPr>
        <w:t>d'appréciation individuelle]</w:t>
      </w:r>
    </w:p>
    <w:p>
      <w:pPr>
        <w:pStyle w:val="ListBullet"/>
      </w:pPr>
      <w:r>
        <w:rPr>
          <w:b w:val="0"/>
          <w:i w:val="0"/>
        </w:rPr>
        <w:t>⬜ [Point d'étape en CSE à J+30 sur la base des éléments réellement</w:t>
      </w:r>
      <w:r>
        <w:t xml:space="preserve"> </w:t>
      </w:r>
      <w:r>
        <w:rPr>
          <w:b w:val="0"/>
          <w:i w:val="0"/>
        </w:rPr>
        <w:t>produits]</w:t>
      </w:r>
    </w:p>
    <w:p>
      <w:pPr>
        <w:pStyle w:val="ListBullet"/>
      </w:pPr>
      <w:r>
        <w:rPr>
          <w:b w:val="0"/>
          <w:i w:val="0"/>
        </w:rPr>
        <w:t xml:space="preserve">⬜ </w:t>
      </w:r>
      <w:r>
        <w:rPr>
          <w:b w:val="0"/>
          <w:i w:val="0"/>
          <w:highlight w:val="yellow"/>
        </w:rPr>
        <w:t>[Formation des destinataires à la lecture des indicateurs]</w:t>
      </w:r>
    </w:p>
    <w:p>
      <w:pPr>
        <w:pStyle w:val="ListBullet"/>
      </w:pPr>
      <w:r>
        <w:rPr>
          <w:b w:val="0"/>
          <w:i w:val="0"/>
        </w:rPr>
        <w:t xml:space="preserve">⬜ </w:t>
      </w:r>
      <w:r>
        <w:rPr>
          <w:b w:val="0"/>
          <w:i w:val="0"/>
          <w:highlight w:val="yellow"/>
        </w:rPr>
        <w:t>[Procédure interne de traitement des demandes de droits]</w:t>
      </w:r>
    </w:p>
    <w:p>
      <w:pPr>
        <w:pStyle w:val="ListBullet"/>
      </w:pPr>
      <w:r>
        <w:rPr>
          <w:b w:val="0"/>
          <w:i w:val="0"/>
        </w:rPr>
        <w:t xml:space="preserve">⬜ </w:t>
      </w:r>
      <w:r>
        <w:rPr>
          <w:b w:val="0"/>
          <w:i w:val="0"/>
          <w:highlight w:val="yellow"/>
        </w:rPr>
        <w:t>[Revue annuelle de la présente analyse]</w:t>
      </w:r>
    </w:p>
    <w:p>
      <w:pPr>
        <w:spacing w:before="120" w:after="120"/>
        <w:pBdr>
          <w:bottom w:val="single" w:sz="6" w:color="BFBFBF"/>
        </w:pBdr>
      </w:pPr>
    </w:p>
    <w:p>
      <w:pPr>
        <w:pStyle w:val="Heading1"/>
      </w:pPr>
      <w:r>
        <w:rPr>
          <w:b w:val="0"/>
          <w:i w:val="0"/>
        </w:rPr>
        <w:t>Partie D — Validation ⬜</w:t>
      </w:r>
    </w:p>
    <w:p>
      <w:r>
        <w:rPr>
          <w:b/>
          <w:i w:val="0"/>
        </w:rPr>
        <w:t>Consultation des personnes concernées</w:t>
      </w:r>
      <w:r>
        <w:rPr>
          <w:b w:val="0"/>
          <w:i w:val="0"/>
        </w:rPr>
        <w:t xml:space="preserve"> (art. 35.9) : ⬜ </w:t>
      </w:r>
      <w:r>
        <w:rPr>
          <w:b w:val="0"/>
          <w:i w:val="0"/>
          <w:highlight w:val="yellow"/>
        </w:rPr>
        <w:t>[CSE consulté le DATE, avis rendu / consultation directe des salariés / non réalisée, motif]</w:t>
      </w:r>
    </w:p>
    <w:p>
      <w:r>
        <w:rPr>
          <w:b/>
          <w:i w:val="0"/>
        </w:rPr>
        <w:t>Avis du DPO ou du référent</w:t>
      </w:r>
      <w:r>
        <w:rPr>
          <w:b w:val="0"/>
          <w:i w:val="0"/>
        </w:rPr>
        <w:t xml:space="preserve"> : ⬜ </w:t>
      </w:r>
      <w:r>
        <w:rPr>
          <w:b w:val="0"/>
          <w:i w:val="0"/>
          <w:highlight w:val="yellow"/>
        </w:rPr>
        <w:t>[avis, réserves, conditions]</w:t>
      </w:r>
    </w:p>
    <w:p>
      <w:r>
        <w:rPr>
          <w:b/>
          <w:i w:val="0"/>
        </w:rPr>
        <w:t>Décision du responsable de traitement</w:t>
      </w:r>
      <w:r>
        <w:rPr>
          <w:b w:val="0"/>
          <w:i w:val="0"/>
        </w:rPr>
        <w:t xml:space="preserve"> : ⬜ </w:t>
      </w:r>
      <w:r>
        <w:rPr>
          <w:b w:val="0"/>
          <w:i w:val="0"/>
          <w:highlight w:val="yellow"/>
        </w:rPr>
        <w:t>[le traitement est mis en œuvre / mis en œuvre sous conditions / abandonné]</w:t>
      </w:r>
    </w:p>
    <w:p>
      <w:r>
        <w:rPr>
          <w:b/>
          <w:i w:val="0"/>
        </w:rPr>
        <w:t>Consultation préalable de la CNIL</w:t>
      </w:r>
      <w:r>
        <w:rPr>
          <w:b w:val="0"/>
          <w:i w:val="0"/>
        </w:rPr>
        <w:t xml:space="preserve"> (art. 36) : ⬜ </w:t>
      </w:r>
      <w:r>
        <w:rPr>
          <w:b w:val="0"/>
          <w:i w:val="0"/>
          <w:highlight w:val="yellow"/>
        </w:rPr>
        <w:t>[nécessaire / non nécessaire, motif]</w:t>
      </w:r>
    </w:p>
    <w:p>
      <w:r>
        <w:rPr>
          <w:b/>
          <w:i w:val="0"/>
        </w:rPr>
        <w:t>Signatures</w:t>
      </w:r>
      <w:r>
        <w:rPr>
          <w:b w:val="0"/>
          <w:i w:val="0"/>
        </w:rPr>
        <w:t xml:space="preserve"> : ⬜ </w:t>
      </w:r>
      <w:r>
        <w:rPr>
          <w:b w:val="0"/>
          <w:i w:val="0"/>
          <w:highlight w:val="yellow"/>
        </w:rPr>
        <w:t>[NOM, FONCTION, DATE]</w:t>
      </w:r>
    </w:p>
    <w:p>
      <w:pPr>
        <w:spacing w:before="120" w:after="120"/>
        <w:pBdr>
          <w:bottom w:val="single" w:sz="6" w:color="BFBFBF"/>
        </w:pBdr>
      </w:pPr>
    </w:p>
    <w:p>
      <w:r>
        <w:rPr>
          <w:b w:val="0"/>
          <w:i/>
        </w:rPr>
        <w:t>Trame DeepWorkGraph — https://deepworkgraph.com/deploiement-rh</w:t>
      </w:r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808080"/>
        <w:sz w:val="16"/>
      </w:rPr>
      <w:t xml:space="preserve">Modèle DeepWorkGraph · deepworkgraph.com/deploiement-rh · page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DeepWorkGraph</dc:creator>
  <cp:keywords/>
  <dc:description>generated by python-docx</dc:description>
  <cp:lastModifiedBy>DeepWorkGraph</cp:lastModifiedBy>
  <cp:revision>1</cp:revision>
  <dcterms:created xsi:type="dcterms:W3CDTF">2026-01-01T00:00:00Z</dcterms:created>
  <dcterms:modified xsi:type="dcterms:W3CDTF">2026-01-01T00:00:00Z</dcterms:modified>
  <cp:category/>
</cp:coreProperties>
</file>